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480" w:lineRule="exact"/>
        <w:jc w:val="center"/>
        <w:rPr>
          <w:rFonts w:ascii="方正小标宋简体" w:eastAsia="方正小标宋简体"/>
          <w:sz w:val="44"/>
          <w:szCs w:val="44"/>
        </w:rPr>
      </w:pPr>
    </w:p>
    <w:p>
      <w:pPr>
        <w:spacing w:line="720" w:lineRule="exact"/>
        <w:jc w:val="center"/>
        <w:rPr>
          <w:rFonts w:ascii="方正小标宋_GBK" w:eastAsia="方正小标宋_GBK"/>
          <w:w w:val="90"/>
          <w:sz w:val="44"/>
          <w:szCs w:val="44"/>
        </w:rPr>
      </w:pPr>
      <w:bookmarkStart w:id="0" w:name="_GoBack"/>
      <w:r>
        <w:rPr>
          <w:rFonts w:hint="eastAsia" w:ascii="方正小标宋_GBK" w:eastAsia="方正小标宋_GBK"/>
          <w:w w:val="90"/>
          <w:sz w:val="44"/>
          <w:szCs w:val="44"/>
        </w:rPr>
        <w:t>宁夏回族自治区教师资格认定体检标准及办法</w:t>
      </w:r>
    </w:p>
    <w:bookmarkEnd w:id="0"/>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一、适用对象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二、体检结果分为合格、不合格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（一）严重心脏病、心肌病，不合格。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（二）结核病未治愈者不合格。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（三）严重的血液病，不合格。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（五）严重慢性胃、肠疾病不合格。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胃次全切除术后无严重并发症者，合格。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（六）各种急慢性肝炎和肝硬化不合格。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（七）恶性肿瘤不合格。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尿崩症、肢端肥大症等内分泌系统疾病患者，不合格。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甲状腺功能亢进治愈后1年无症状和体征者，合格。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（十二）淋病、梅毒、软下疳、性病性淋巴肉芽肿、尖锐湿疣、生殖器疱疹，艾滋病，不合格。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（十四）色盲、色弱，幼儿园教师资格，不合格。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（二十）申请幼儿园教师资格，淋球菌、梅毒螺旋体和妇科滴虫、外阴阴道假丝酵母菌（念球菌）检查阳性者，不合格。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三、体检机构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四、体检要求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（一）教师资格认定申请</w:t>
      </w:r>
      <w:r>
        <w:rPr>
          <w:rFonts w:hint="eastAsia" w:ascii="仿宋_GB2312" w:eastAsia="仿宋_GB2312"/>
          <w:sz w:val="32"/>
          <w:szCs w:val="32"/>
        </w:rPr>
        <w:t>人员</w:t>
      </w:r>
      <w:r>
        <w:rPr>
          <w:rFonts w:hint="eastAsia" w:ascii="仿宋_GB2312" w:eastAsia="仿宋_GB2312"/>
          <w:color w:val="auto"/>
          <w:sz w:val="32"/>
          <w:szCs w:val="32"/>
          <w:highlight w:val="none"/>
        </w:rPr>
        <w:t>体检</w:t>
      </w:r>
      <w:r>
        <w:rPr>
          <w:rFonts w:hint="eastAsia" w:ascii="仿宋_GB2312" w:eastAsia="仿宋_GB2312"/>
          <w:sz w:val="32"/>
          <w:szCs w:val="32"/>
        </w:rPr>
        <w:t>工</w:t>
      </w:r>
      <w:r>
        <w:rPr>
          <w:rFonts w:hint="eastAsia" w:ascii="仿宋_GB2312" w:eastAsia="仿宋_GB2312"/>
          <w:sz w:val="32"/>
          <w:szCs w:val="32"/>
        </w:rPr>
        <w:t>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五、其他说明事项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本办法自印发之日起执行，原办法自本办法实施之日起废止。本办法由宁夏回族自治区教育厅负责解释。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YTJjMWNiOWNmYjQyOGE4MTMzZjJjYjIzZDFmOGIifQ=="/>
  </w:docVars>
  <w:rsids>
    <w:rsidRoot w:val="79A61FC8"/>
    <w:rsid w:val="66E33DC3"/>
    <w:rsid w:val="79A61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2156</Words>
  <Characters>2162</Characters>
  <Lines>0</Lines>
  <Paragraphs>0</Paragraphs>
  <TotalTime>2</TotalTime>
  <ScaleCrop>false</ScaleCrop>
  <LinksUpToDate>false</LinksUpToDate>
  <CharactersWithSpaces>2164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2022-04-26T06:51:00Z</dcterms:created>
  <dc:creator>远〰  .</dc:creator>
  <cp:lastModifiedBy>●</cp:lastModifiedBy>
  <dcterms:modified xsi:type="dcterms:W3CDTF">2023-05-04T02:28:14Z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8979053CE3DD40F681096C16D1768085_13</vt:lpwstr>
  </property>
</Properties>
</file>