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4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2：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十堰市市直事业单位公开招聘工作人员</w:t>
      </w:r>
      <w:r>
        <w:rPr>
          <w:rFonts w:hint="eastAsia" w:ascii="方正小标宋简体" w:eastAsia="方正小标宋简体" w:cs="方正小标宋简体"/>
          <w:sz w:val="40"/>
          <w:szCs w:val="40"/>
        </w:rPr>
        <w:t>专业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参考目录</w:t>
      </w:r>
    </w:p>
    <w:p>
      <w:pPr>
        <w:spacing w:line="584" w:lineRule="exact"/>
        <w:jc w:val="center"/>
        <w:rPr>
          <w:rFonts w:hint="eastAsia" w:ascii="仿宋_GB2312"/>
        </w:rPr>
      </w:pP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为规范我</w:t>
      </w:r>
      <w:r>
        <w:rPr>
          <w:rFonts w:hint="eastAsia" w:ascii="仿宋_GB2312" w:cs="仿宋_GB2312"/>
          <w:lang w:eastAsia="zh-CN"/>
        </w:rPr>
        <w:t>市事业单位公开招考</w:t>
      </w:r>
      <w:r>
        <w:rPr>
          <w:rFonts w:hint="eastAsia" w:ascii="仿宋_GB2312" w:cs="仿宋_GB2312"/>
        </w:rPr>
        <w:t>的</w:t>
      </w:r>
      <w:r>
        <w:rPr>
          <w:rFonts w:hint="eastAsia" w:ascii="仿宋_GB2312" w:cs="仿宋_GB2312"/>
          <w:lang w:eastAsia="zh-CN"/>
        </w:rPr>
        <w:t>考生报名</w:t>
      </w:r>
      <w:r>
        <w:rPr>
          <w:rFonts w:hint="eastAsia" w:ascii="仿宋_GB2312" w:cs="仿宋_GB2312"/>
        </w:rPr>
        <w:t>和资格审核工作，避免工作的盲目性和随意性，方便考生报考，我们根据各用人单位对所招聘岗位的专业要求，制定了本</w:t>
      </w:r>
      <w:r>
        <w:rPr>
          <w:rFonts w:hint="eastAsia" w:ascii="仿宋_GB2312" w:cs="仿宋_GB2312"/>
          <w:lang w:eastAsia="zh-CN"/>
        </w:rPr>
        <w:t>表</w:t>
      </w:r>
      <w:r>
        <w:rPr>
          <w:rFonts w:hint="eastAsia" w:ascii="仿宋_GB2312" w:cs="仿宋_GB2312"/>
        </w:rPr>
        <w:t>，供</w:t>
      </w:r>
      <w:r>
        <w:rPr>
          <w:rFonts w:hint="eastAsia" w:ascii="仿宋_GB2312" w:cs="仿宋_GB2312"/>
          <w:lang w:eastAsia="zh-CN"/>
        </w:rPr>
        <w:t>考生报名和资格审查</w:t>
      </w:r>
      <w:r>
        <w:rPr>
          <w:rFonts w:hint="eastAsia" w:ascii="仿宋_GB2312" w:cs="仿宋_GB2312"/>
        </w:rPr>
        <w:t>参考使用。</w:t>
      </w:r>
    </w:p>
    <w:p>
      <w:pPr>
        <w:spacing w:line="560" w:lineRule="exact"/>
        <w:ind w:firstLine="600" w:firstLineChars="200"/>
        <w:jc w:val="left"/>
        <w:rPr>
          <w:rFonts w:hint="eastAsia" w:ascii="黑体" w:eastAsia="黑体"/>
        </w:rPr>
      </w:pPr>
      <w:r>
        <w:rPr>
          <w:rFonts w:hint="eastAsia" w:ascii="黑体" w:eastAsia="黑体" w:cs="仿宋_GB2312"/>
        </w:rPr>
        <w:t>专业设置</w:t>
      </w:r>
      <w:r>
        <w:rPr>
          <w:rFonts w:hint="eastAsia" w:ascii="黑体" w:eastAsia="黑体" w:cs="仿宋_GB2312"/>
          <w:lang w:eastAsia="zh-CN"/>
        </w:rPr>
        <w:t>的情况说明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（一）专业选择“不限”的职位，则任何专业均可报考。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（二）专业选择1个及以上“×××类”的职位，原则上按照大类所列专业进行</w:t>
      </w:r>
      <w:r>
        <w:rPr>
          <w:rFonts w:hint="eastAsia" w:ascii="仿宋_GB2312" w:cs="仿宋_GB2312"/>
          <w:lang w:eastAsia="zh-CN"/>
        </w:rPr>
        <w:t>报名和</w:t>
      </w:r>
      <w:r>
        <w:rPr>
          <w:rFonts w:hint="eastAsia" w:ascii="仿宋_GB2312" w:cs="仿宋_GB2312"/>
        </w:rPr>
        <w:t>资格审查</w:t>
      </w:r>
      <w:r>
        <w:rPr>
          <w:rFonts w:hint="eastAsia" w:ascii="仿宋_GB2312" w:cs="仿宋_GB2312"/>
          <w:lang w:eastAsia="zh-CN"/>
        </w:rPr>
        <w:t>参考</w:t>
      </w:r>
      <w:r>
        <w:rPr>
          <w:rFonts w:hint="eastAsia" w:ascii="仿宋_GB2312" w:cs="仿宋_GB2312"/>
        </w:rPr>
        <w:t>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（三）设置具体专业的职位</w:t>
      </w:r>
      <w:r>
        <w:rPr>
          <w:rFonts w:hint="eastAsia" w:ascii="仿宋_GB2312" w:cs="仿宋_GB2312"/>
          <w:lang w:eastAsia="zh-CN"/>
        </w:rPr>
        <w:t>需求是严格按用人单位要求确定</w:t>
      </w:r>
      <w:r>
        <w:rPr>
          <w:rFonts w:hint="eastAsia" w:ascii="仿宋_GB2312" w:cs="仿宋_GB2312"/>
        </w:rPr>
        <w:t>，考生严格按照一一对应的原则报考，超出所列具体专业之外的其他专业不</w:t>
      </w:r>
      <w:r>
        <w:rPr>
          <w:rFonts w:hint="eastAsia" w:ascii="仿宋_GB2312" w:cs="仿宋_GB2312"/>
          <w:lang w:eastAsia="zh-CN"/>
        </w:rPr>
        <w:t>得</w:t>
      </w:r>
      <w:r>
        <w:rPr>
          <w:rFonts w:hint="eastAsia" w:ascii="仿宋_GB2312" w:cs="仿宋_GB2312"/>
        </w:rPr>
        <w:t>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（四）对目录未收录进来的某些专业，专业背景与该专业大类又相关相同，由招聘单位根据职位实际需求和专业所学课程的匹配性，自主决定该专业能否报考</w:t>
      </w:r>
      <w:bookmarkStart w:id="0" w:name="_GoBack"/>
      <w:bookmarkEnd w:id="0"/>
      <w:r>
        <w:rPr>
          <w:rFonts w:hint="eastAsia" w:ascii="仿宋_GB2312" w:cs="仿宋_GB2312"/>
          <w:lang w:eastAsia="zh-CN"/>
        </w:rPr>
        <w:t>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（五）本表是根椐单位所需专业设置，与国家相关专业设置无关。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 w:cs="仿宋_GB2312"/>
          <w:lang w:eastAsia="zh-CN"/>
        </w:rPr>
      </w:pPr>
      <w:r>
        <w:rPr>
          <w:rFonts w:hint="eastAsia" w:ascii="仿宋_GB2312" w:cs="仿宋_GB2312"/>
          <w:lang w:val="en-US" w:eastAsia="zh-CN"/>
        </w:rPr>
        <w:t>（六）</w:t>
      </w:r>
      <w:r>
        <w:rPr>
          <w:rFonts w:hint="eastAsia" w:ascii="仿宋_GB2312" w:cs="仿宋_GB2312"/>
          <w:lang w:eastAsia="zh-CN"/>
        </w:rPr>
        <w:t>本表仅适用于本次招聘考试使用。</w:t>
      </w:r>
    </w:p>
    <w:p>
      <w:pPr>
        <w:spacing w:after="204" w:afterLines="50" w:line="584" w:lineRule="exact"/>
        <w:jc w:val="center"/>
        <w:rPr>
          <w:rFonts w:hint="eastAsia" w:ascii="方正小标宋简体" w:hAnsi="宋体" w:eastAsia="方正小标宋简体"/>
          <w:sz w:val="40"/>
          <w:szCs w:val="40"/>
        </w:rPr>
      </w:pPr>
      <w:r>
        <w:rPr>
          <w:rFonts w:ascii="仿宋_GB2312" w:cs="仿宋_GB2312"/>
        </w:rPr>
        <w:br w:type="page"/>
      </w:r>
      <w:r>
        <w:rPr>
          <w:rFonts w:hint="eastAsia" w:ascii="方正小标宋简体" w:eastAsia="方正小标宋简体" w:cs="黑体"/>
          <w:sz w:val="40"/>
          <w:szCs w:val="40"/>
          <w:lang w:eastAsia="zh-CN"/>
        </w:rPr>
        <w:t>专业参考目录</w:t>
      </w:r>
    </w:p>
    <w:tbl>
      <w:tblPr>
        <w:tblStyle w:val="3"/>
        <w:tblW w:w="1253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3789"/>
        <w:gridCol w:w="14"/>
        <w:gridCol w:w="3751"/>
        <w:gridCol w:w="14"/>
        <w:gridCol w:w="3540"/>
        <w:gridCol w:w="1"/>
        <w:gridCol w:w="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56" w:hRule="atLeast"/>
          <w:tblHeader/>
          <w:jc w:val="center"/>
        </w:trPr>
        <w:tc>
          <w:tcPr>
            <w:tcW w:w="1403" w:type="dxa"/>
            <w:vMerge w:val="restart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专业类</w:t>
            </w:r>
          </w:p>
        </w:tc>
        <w:tc>
          <w:tcPr>
            <w:tcW w:w="11109" w:type="dxa"/>
            <w:gridSpan w:val="6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      业      名      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90" w:hRule="atLeast"/>
          <w:tblHeader/>
          <w:jc w:val="center"/>
        </w:trPr>
        <w:tc>
          <w:tcPr>
            <w:tcW w:w="1403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eastAsia="黑体"/>
                <w:kern w:val="0"/>
                <w:sz w:val="21"/>
                <w:szCs w:val="21"/>
              </w:rPr>
            </w:pPr>
          </w:p>
        </w:tc>
        <w:tc>
          <w:tcPr>
            <w:tcW w:w="378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研究生专业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本科专业</w:t>
            </w:r>
          </w:p>
        </w:tc>
        <w:tc>
          <w:tcPr>
            <w:tcW w:w="3555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中国语言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文学类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文艺学，语言学及应用语言学，汉语言文字学，中国古典文献学，中国古代文学，中国现当代文学，文学阅读与文学教育，比较文学与世界文学，经济秘书，中国少数民族语言文学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汉语言文学，汉语言，汉语国际教育，对外汉语，语言学，编辑学，汉语言文学教育，中国语言文化，中国语言文学，中文应用，华文教育，应用语言学，文学，中国文学，汉语言文学与文化传播，秘书学，文秘，文秘学，中文秘书教育，现代秘书，经济秘书，中国学</w:t>
            </w:r>
          </w:p>
        </w:tc>
        <w:tc>
          <w:tcPr>
            <w:tcW w:w="3555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汉语，文秘，涉外文秘，秘书学，文秘档案，中文，汉语言文学，经贸文秘，经济秘书，现代文员，公共关系与文秘，公关文秘，汉语言文学教育，现代文秘与公共关系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新闻传播学类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新闻学，传播学，新闻与传播，出版，编辑出版学，媒体与文化分析专业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新闻学，广播电视新闻学，编辑出版学，传播学，国际新闻，体育新闻，新闻，广播电视学</w:t>
            </w:r>
          </w:p>
        </w:tc>
        <w:tc>
          <w:tcPr>
            <w:tcW w:w="3555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spacing w:val="-6"/>
                <w:kern w:val="0"/>
                <w:sz w:val="21"/>
                <w:szCs w:val="21"/>
              </w:rPr>
              <w:t>新闻采编与制作，电视节目制作，电视制片管理，新闻与传播，新闻学与大众传播，信息传播与策划，传媒策划与管理，新闻，新闻学，新闻与文秘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120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政治学类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政治学理论，中外政治制度，科学社会主义与国际共产主义运动，中共党史，国际政治，国际关系，外交学，民族政治学</w:t>
            </w:r>
          </w:p>
        </w:tc>
        <w:tc>
          <w:tcPr>
            <w:tcW w:w="3779" w:type="dxa"/>
            <w:gridSpan w:val="3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政治学与行政学，国际政治，国际关系，外交学，国际事务与国际关系，政治学</w:t>
            </w:r>
            <w:r>
              <w:rPr>
                <w:rFonts w:hint="eastAsia" w:ascii="仿宋_GB2312" w:cs="仿宋_GB2312"/>
                <w:kern w:val="0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经济学与哲学，国际政治经济学，国际文化交流，欧洲事务与欧洲关系，东亚事务与东亚关系，国际事务，政治学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马克思主义理论类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马克思主义基本原理，马克思主义发展史，马克思主义中国化研究，马克思主义中国化，国外马克思主义研究，马克思主义理论与思想政治教育，思想政治教育，中国近现代史基本问题研究</w:t>
            </w:r>
          </w:p>
        </w:tc>
        <w:tc>
          <w:tcPr>
            <w:tcW w:w="3779" w:type="dxa"/>
            <w:gridSpan w:val="3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科学社会主义，中国共产党党史，中国共产党历史，思想政治教育，科学社会主义与国际共产主义运动，中国革命史与中国共产党党史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法学类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法学，法律，比较法学，宪法学与行政法学，经济刑法学，民法学，刑事诉讼法学，行政诉讼法学，法学理论，法理学，法律史，民商法学，诉讼法学，经济法学，法律硕士，中国司法制度，比较司法制度，司法制度，法律逻辑，知识产权，知识产权法学，民族法学</w:t>
            </w:r>
          </w:p>
        </w:tc>
        <w:tc>
          <w:tcPr>
            <w:tcW w:w="3779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法学，知识产权，知识产权法，诉讼法，法律，刑事司法，律师，经济法律事务，法律事务，大法学，经济法学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司法助理，法律文秘，司法警务，法律事务，涉外经济法律事务，经济法律事务，律师事务，行政法律事务，法律，书记官，海关国际法律条约与公约，检查事务，经济法，商贸法律，法学，律师，民事诉讼法学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财务会计类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会计学，审计理论研究，政府审计理论与实务，内部控制与内部审计，独立审计与实务，审计学，财务管理，会计硕士专业，审计</w:t>
            </w:r>
          </w:p>
        </w:tc>
        <w:tc>
          <w:tcPr>
            <w:tcW w:w="3779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财务管理，审计，审计学，会计，会计学，审计实务，财务会计，财务会计教育，国际会计，会计电算化，财务电算化，注册会计师，会计与统计核算，财务信息管理，工业会计，企业会计，企业财务管理，财会，会计信息化，财务会计教育，会计统计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财务管理，财务信息管理，会计，会计学，会计电算化，会计与统计核算，会计与审计，审计实务，电算会计，金融会计与审计，企业财务管理，财会，财务会计，审计，财务审计与税务管理，司法会计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434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jc w:val="both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电子商务类</w:t>
            </w:r>
          </w:p>
        </w:tc>
        <w:tc>
          <w:tcPr>
            <w:tcW w:w="3803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电子商务，电子商务及法律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spacing w:val="-1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电子商务，广告经营与管理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管理类</w:t>
            </w:r>
          </w:p>
        </w:tc>
        <w:tc>
          <w:tcPr>
            <w:tcW w:w="3803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spacing w:val="-4"/>
                <w:kern w:val="0"/>
                <w:sz w:val="21"/>
                <w:szCs w:val="21"/>
              </w:rPr>
              <w:t>城市管理，劳动关系，应急管理，公共卫生管理，信息与技术经济管理，保密管理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1964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音乐与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舞蹈学类</w:t>
            </w:r>
          </w:p>
        </w:tc>
        <w:tc>
          <w:tcPr>
            <w:tcW w:w="3803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音乐学，舞蹈学，音乐与舞蹈学，艺术硕士专业（音乐，舞蹈）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音乐学，作曲与作曲技术理论，音乐表演，舞蹈学，舞蹈表演，舞蹈编导，音乐科技与艺术，指挥，键盘乐器演奏，弦（打击）乐器演奏，中国乐器演奏，乐器修造艺术，音乐音响导演，舞蹈史与舞蹈理论，舞蹈教育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舞台艺术设计，音乐表演，舞蹈表演，乐器维修技术，钢琴调律，乐器维护服务，钢琴伴奏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5594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计算机类</w:t>
            </w:r>
          </w:p>
        </w:tc>
        <w:tc>
          <w:tcPr>
            <w:tcW w:w="3803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</w:t>
            </w:r>
            <w:r>
              <w:rPr>
                <w:rFonts w:hint="eastAsia" w:ascii="仿宋_GB2312"/>
                <w:kern w:val="0"/>
                <w:sz w:val="21"/>
                <w:szCs w:val="21"/>
              </w:rPr>
              <w:t>Web</w:t>
            </w: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应用程序设计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安全工程，科技防卫，信息管理与信息系统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spacing w:val="-1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spacing w:val="-10"/>
                <w:kern w:val="0"/>
                <w:sz w:val="21"/>
                <w:szCs w:val="21"/>
              </w:rPr>
              <w:t>计算机应用技术，计算机应用，计算机办公应用，计算机办公自动化，计算机网络技术，计算机网络技术与管理，网络技术与技术处理，网络技术与信息处理，计算机多媒体技术，多媒体与网络技术，计算机系统维护，计算机硬件与外设，计算机信息管理，计算机与信息管理，网络系统管理，网络构建技术，网络系统安全，网络构建专业，软件技术，</w:t>
            </w:r>
            <w:r>
              <w:rPr>
                <w:rFonts w:hint="eastAsia" w:ascii="仿宋_GB2312"/>
                <w:spacing w:val="-10"/>
                <w:kern w:val="0"/>
                <w:sz w:val="21"/>
                <w:szCs w:val="21"/>
              </w:rPr>
              <w:t>WEB</w:t>
            </w:r>
            <w:r>
              <w:rPr>
                <w:rFonts w:hint="eastAsia" w:ascii="仿宋_GB2312" w:cs="仿宋_GB2312"/>
                <w:spacing w:val="-10"/>
                <w:kern w:val="0"/>
                <w:sz w:val="21"/>
                <w:szCs w:val="21"/>
              </w:rPr>
              <w:t>软件技术应用，软件测试，</w:t>
            </w:r>
            <w:r>
              <w:rPr>
                <w:rFonts w:hint="eastAsia" w:ascii="仿宋_GB2312"/>
                <w:spacing w:val="-10"/>
                <w:kern w:val="0"/>
                <w:sz w:val="21"/>
                <w:szCs w:val="21"/>
              </w:rPr>
              <w:t>WEB</w:t>
            </w:r>
            <w:r>
              <w:rPr>
                <w:rFonts w:hint="eastAsia" w:ascii="仿宋_GB2312" w:cs="仿宋_GB2312"/>
                <w:spacing w:val="-10"/>
                <w:kern w:val="0"/>
                <w:sz w:val="21"/>
                <w:szCs w:val="21"/>
              </w:rPr>
              <w:t>应用程序设计，可视化编程，可视化程序设计，计算机网络与安全管理，网站规划与开发技术，移动应用开发，移动设备应用开发，数据通信与网络系统，数据库管理，航空计算机技术与应用，软件开发与项目管理，软件测试技术，嵌入式技术与应用，计算机科学与技术，计算机与通信，经济计算机管理，经济信息管理与计算机应用，国际金融计算机管理，计算机软件及应用，计算机软件，计算机电子工程，计算机及应用，计算机经济信息管理，计算机网络与软件应用，计算机应用与维护，信息处理与自动化，信息管理与计算机，信息安全技术，计算机信息安全技术，计算机网络工程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管理科学与工程类</w:t>
            </w:r>
          </w:p>
        </w:tc>
        <w:tc>
          <w:tcPr>
            <w:tcW w:w="3803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管理科学与工程，项目管理等工程硕士专业，营运与供应链管理，工程管理硕士专业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工程管理，工程造价，工程造价管理，项目管理，管理科学工程，管理科学与工程</w:t>
            </w:r>
            <w:r>
              <w:rPr>
                <w:rFonts w:hint="eastAsia" w:ascii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控制科学与工程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工程造价管理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" w:type="dxa"/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经济与贸易类</w:t>
            </w:r>
          </w:p>
        </w:tc>
        <w:tc>
          <w:tcPr>
            <w:tcW w:w="3803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国际贸易学，服务贸易学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国际经济与贸易</w:t>
            </w: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>,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贸易经济</w:t>
            </w: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>,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国际文化贸易，国际贸易</w:t>
            </w:r>
          </w:p>
        </w:tc>
        <w:tc>
          <w:tcPr>
            <w:tcW w:w="3540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金融学类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金融学，保险学，金融工程，投资学，金融，保险，应用金融，金融与管理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金融学，金融工程，金融管理，保险学，投资学，金融数学，信用管理，经济与金融，保险，国际金融，货币银行学，金融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spacing w:val="-6"/>
                <w:kern w:val="0"/>
                <w:sz w:val="21"/>
                <w:szCs w:val="21"/>
              </w:rPr>
              <w:t>金融，保险，金融管理与实务，国际金融，金融与证券，金融保险，保险实务，医疗保险实务，资产评估与管理，证券投资与管理，投资与理财，证券与期货，产权交易与实务，信用管理，农村合作金融，机动车保险实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经济学类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，可持续发展及应用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经济学，经济统计学，国民经济管理，资源与环境经济学，商务经济学，能源经济，海洋经济学，统计学，环境经济，环境资源与发展经济学</w:t>
            </w: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>,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经济管理，经济信息管理，资产评估管理，邮电经济管理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地质学类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2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0"/>
                <w:szCs w:val="20"/>
              </w:rPr>
              <w:t>矿物学、岩石学、矿床学，地球化学，古生物学及地层学，构造地质学，第四纪地质学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2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0"/>
                <w:szCs w:val="20"/>
              </w:rPr>
              <w:t>地质学，构造地质学，古生物学及地层学，地球化学，地球信息科学与技术，古生物学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2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建筑类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建筑历史与理论，建筑设计及其理论，城市规划与设计，建筑技术科学，建筑学，城乡规划学，风景园林学，城市规划，房地产和建筑管理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建筑学，城市规划，城乡规划，景观设计，历史建筑保护工程，景观建筑设计，景观学，风景园林，城镇建设，园林景观设计，历史建筑保护工程，建筑经济管理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城镇建设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土木类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岩土工程，结构工程，市政工程，供热、供燃气、通风及空调工程，防灾减灾工程及防护工程，桥梁与隧道工程，建筑与土木工程，建筑与土木工程领域，土木与环境工程，给排水工程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土木工程，建筑环境与设备工程，建筑环境与能源应用工程，给排水科学与工程，给水排水工程，城市地下空间工程，历史建筑保护工程，建筑设施智能技术，给排水科学与工程，建筑电气与智能化，道路桥梁与渡河工程，道路与桥梁工程，建筑工程，交通土建工程</w:t>
            </w: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，供热通风与空调工程，城市燃气工程，工业与民用建筑，建筑工程教育，建筑节能技术与工程，建筑工程管理，给排水与采暖通风工程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spacing w:val="-4"/>
                <w:kern w:val="0"/>
                <w:sz w:val="21"/>
                <w:szCs w:val="21"/>
              </w:rPr>
              <w:t>建筑工程技术，建筑工程施工与管理，工业与民用建筑工程，地下工程与隧道工程技术，道路桥梁工程技术，基础工程技术，土木工程检测技术，建筑设备工程技术，供热通风与空调工程技术，建筑电气工程技术，楼宇智能化工程技术，工业设备安装工程技术，供热通风与卫生工程技术，机电安装工程，工程造价，工程监理，工程质量监督与管理，市政工程技术，城市燃气工程技术，给排水工程技术，建筑水电技术，建筑水电设备工程，工业与民用建筑，建筑设计技术，建筑工程，建筑工程管理，建筑工程造价管理，工程预算管理，建筑施工与管理，房屋建筑工程，建筑装饰工程技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公共管理类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行政管理，公共政策学，公共管理硕士专业，人力资源管理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行政管理，行政管理学，公共事业管理，公共关系学，公共关系，高等教育管理，公共政策学，公共管理，人力资源管理，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0"/>
                <w:sz w:val="21"/>
                <w:szCs w:val="21"/>
              </w:rPr>
              <w:t>公共事务管理，行政管理，市政管理，乡镇管理，机关管理及办公自动化，土地管理，城市管理与监察，公共关系，人力资源管理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jc w:val="both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旅游管理类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旅游管理，旅游管理硕士专业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旅游管理，旅游管理与服务教育，酒店管理，会展经济与管理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临床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医学类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临床医学，麻醉学，放射医学，精神医学，精神病学与精神卫生，儿科医学</w:t>
            </w: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>,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医学影像学，眼视光医学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临床医学，麻醉学，社区医疗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中医学类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中医基础理论，中医临床基础，中医医史文献，方剂学，中医诊断学，中医内科学，中医外科学，中医骨伤科学，中医妇科学，中医儿科学，中医五官科学，针灸推拿学，民族医学，中医耳鼻咽喉科学，中医骨伤科学，针灸学，中医文献，医古文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中医学，蒙医学，藏医学，维医学，针灸推拿，中医骨伤，中医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中西医结合类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中西医结合基础，中西医结合临床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中西医临床医学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中西医结合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护理学类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护理学，护理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护理学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,护理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护理，助产，高等护理，高级护理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公共卫生与预防医学类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流行病与卫生统计学，劳动卫生与环境卫生学，营养与食品卫生学，儿少卫生与妇幼保健学，卫生毒理学，军事预防医学，公共卫生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预防医学，卫生检验与检疫，妇幼保健医学，营养与食品卫生，卫生检验，营养学，食品营养与检验教育，食品卫生与营养学，营养、食品与健康，卫生监督，全球健康学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机械类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机械设计制造及其自动化，材料成型及控制工程，过程装备与控制工程，机械工程及自动化，车辆工程，汽车制造，机械电子工程，汽车服务工程，制造自动化与测控技术，微机电系统工程，机械制造工艺与设备，热加工工艺及设备，铸造，塑性成形工艺及设备，焊接工艺及设备，机械设计及制造，化工设备与机械，船舶工程，汽车与拖拉机</w:t>
            </w: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，热力发动机，流体传动及控制，流体机械及流体工程，真空技术及设备，工业设计，设备工程与管理，机械制造及自动化，机械工程，机械工艺技术，工程机械，制造工程，体育装备工程，交通建设与装备，机电技术教育，汽车维修工程教育，机械制造工艺教育，机械维修及检测技术教育，机电一体化工程，机电一体化技术，机械电子工程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1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戏剧与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影视学类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戏剧与影视学，戏剧戏曲学，电影学，广播影视文艺学，艺术硕士专业（戏剧，戏曲，电影，广播电视）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戏剧学，电影学，戏剧影视文学，戏剧影视美术设计，影视摄影与制作，影视摄制，影视摄影，动画，播音，播音与主持艺术，广播电视编导，广播影视编导，戏剧影视导演，广告学，影视学，广播影视编导，书法学，照明艺术，数字电影技术，会展艺术与技术，导演，表演，戏剧文学，舞台设计，灯光设计，演出音响设计，戏曲文学，戏曲作曲，文艺编导，电视编辑，电影文学，电影摄影，电影电视美术设计，录音艺术，文化艺术事业管理，广播电视文学，音响工程，影视教育，多媒体制作，图形图像制作，数字媒体技术，数字媒体</w:t>
            </w:r>
            <w:r>
              <w:rPr>
                <w:rFonts w:hint="eastAsia" w:ascii="仿宋_GB2312"/>
                <w:color w:val="000000"/>
                <w:kern w:val="0"/>
                <w:sz w:val="21"/>
                <w:szCs w:val="21"/>
              </w:rPr>
              <w:t>,</w:t>
            </w: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数字游戏设计，影视艺术技术，媒体创意，广播电视学，网络与新媒体，数字出版，新媒体与信息网络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社会学类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社会学，人口学，人类学，民俗学，社会工作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社会学，社会工作，社会工作与管理，人类学，女性学，家政学，人口学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3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体育学类</w:t>
            </w:r>
          </w:p>
        </w:tc>
        <w:tc>
          <w:tcPr>
            <w:tcW w:w="3789" w:type="dxa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3765" w:type="dxa"/>
            <w:gridSpan w:val="2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  <w:tc>
          <w:tcPr>
            <w:tcW w:w="3577" w:type="dxa"/>
            <w:gridSpan w:val="4"/>
            <w:tcMar>
              <w:left w:w="17" w:type="dxa"/>
              <w:right w:w="17" w:type="dxa"/>
            </w:tcMar>
            <w:textDirection w:val="lrTb"/>
            <w:vAlign w:val="center"/>
          </w:tcPr>
          <w:p>
            <w:pPr>
              <w:widowControl/>
              <w:spacing w:line="240" w:lineRule="exact"/>
              <w:rPr>
                <w:rFonts w:hint="eastAsia" w:ascii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cs="仿宋_GB2312"/>
                <w:color w:val="000000"/>
                <w:kern w:val="0"/>
                <w:sz w:val="21"/>
                <w:szCs w:val="21"/>
              </w:rPr>
              <w:t>竞技体育，运动训练，社会体育，体育保健，体育服务与管理，武术，体育，民族传统体育，体育教育</w:t>
            </w:r>
          </w:p>
        </w:tc>
      </w:tr>
    </w:tbl>
    <w:p>
      <w:pPr>
        <w:jc w:val="both"/>
        <w:rPr>
          <w:sz w:val="10"/>
          <w:szCs w:val="1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534B9"/>
    <w:rsid w:val="05B97CE5"/>
    <w:rsid w:val="0A102B9E"/>
    <w:rsid w:val="0C496E04"/>
    <w:rsid w:val="0D947CA3"/>
    <w:rsid w:val="0ED621C9"/>
    <w:rsid w:val="11397181"/>
    <w:rsid w:val="116E4D04"/>
    <w:rsid w:val="13005803"/>
    <w:rsid w:val="13894437"/>
    <w:rsid w:val="138E6684"/>
    <w:rsid w:val="13DC3791"/>
    <w:rsid w:val="13E46B19"/>
    <w:rsid w:val="146E09F7"/>
    <w:rsid w:val="14B12745"/>
    <w:rsid w:val="14DA596D"/>
    <w:rsid w:val="17E534B9"/>
    <w:rsid w:val="184B24D0"/>
    <w:rsid w:val="1A22629D"/>
    <w:rsid w:val="1C064663"/>
    <w:rsid w:val="1E2124C6"/>
    <w:rsid w:val="1F5E378B"/>
    <w:rsid w:val="21B97703"/>
    <w:rsid w:val="226812D6"/>
    <w:rsid w:val="22D63165"/>
    <w:rsid w:val="23981F2A"/>
    <w:rsid w:val="24CF7110"/>
    <w:rsid w:val="25C800C3"/>
    <w:rsid w:val="267A32CD"/>
    <w:rsid w:val="2832258E"/>
    <w:rsid w:val="2B15363B"/>
    <w:rsid w:val="2DD61B62"/>
    <w:rsid w:val="2E2B6AAD"/>
    <w:rsid w:val="30B44416"/>
    <w:rsid w:val="31D04409"/>
    <w:rsid w:val="323B0472"/>
    <w:rsid w:val="334270F9"/>
    <w:rsid w:val="36092130"/>
    <w:rsid w:val="36993249"/>
    <w:rsid w:val="36F709C6"/>
    <w:rsid w:val="387F149C"/>
    <w:rsid w:val="3A317A33"/>
    <w:rsid w:val="3DB4539A"/>
    <w:rsid w:val="3E30176C"/>
    <w:rsid w:val="40424BC9"/>
    <w:rsid w:val="42E802D3"/>
    <w:rsid w:val="447E359A"/>
    <w:rsid w:val="44DD7917"/>
    <w:rsid w:val="44E968B1"/>
    <w:rsid w:val="45DC6A02"/>
    <w:rsid w:val="479E45FA"/>
    <w:rsid w:val="4C2A33DA"/>
    <w:rsid w:val="4C7D47A4"/>
    <w:rsid w:val="4C923BC3"/>
    <w:rsid w:val="4EE868BD"/>
    <w:rsid w:val="509005E2"/>
    <w:rsid w:val="50C167B0"/>
    <w:rsid w:val="524526C9"/>
    <w:rsid w:val="58077E84"/>
    <w:rsid w:val="5D260F25"/>
    <w:rsid w:val="5E7D1491"/>
    <w:rsid w:val="61617D52"/>
    <w:rsid w:val="668D5998"/>
    <w:rsid w:val="66EB6187"/>
    <w:rsid w:val="67D94F66"/>
    <w:rsid w:val="691148BD"/>
    <w:rsid w:val="6A806F4E"/>
    <w:rsid w:val="6AB01381"/>
    <w:rsid w:val="6AE9516A"/>
    <w:rsid w:val="6D993A49"/>
    <w:rsid w:val="6F0B49EA"/>
    <w:rsid w:val="6FD60EF9"/>
    <w:rsid w:val="70CD7CB6"/>
    <w:rsid w:val="71802A5F"/>
    <w:rsid w:val="71DB716D"/>
    <w:rsid w:val="754A28B3"/>
    <w:rsid w:val="759A0675"/>
    <w:rsid w:val="786942E2"/>
    <w:rsid w:val="7B1A7216"/>
    <w:rsid w:val="7BB8620B"/>
    <w:rsid w:val="7DD72E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2016-03-28T08:37:00Z</dcterms:created>
  <dc:creator>HB</dc:creator>
  <cp:lastModifiedBy>HB</cp:lastModifiedBy>
  <cp:lastPrinted>2016-06-05T10:02:00Z</cp:lastPrinted>
  <dcterms:modified xsi:type="dcterms:W3CDTF">2017-02-24T07:46:23Z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